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7C04" w14:textId="77777777" w:rsidR="00451632" w:rsidRPr="00DC430D" w:rsidRDefault="00451632" w:rsidP="00451632">
      <w:pPr>
        <w:pStyle w:val="Ttulo1"/>
        <w:tabs>
          <w:tab w:val="left" w:pos="-567"/>
        </w:tabs>
        <w:spacing w:before="230"/>
        <w:ind w:left="-567" w:right="-518"/>
        <w:jc w:val="center"/>
        <w:rPr>
          <w:sz w:val="28"/>
          <w:szCs w:val="28"/>
        </w:rPr>
      </w:pPr>
      <w:r w:rsidRPr="00DC430D">
        <w:rPr>
          <w:sz w:val="28"/>
          <w:szCs w:val="28"/>
        </w:rPr>
        <w:t>FONDOS DE APOYO A LA INVESTIGACIÓN.</w:t>
      </w:r>
    </w:p>
    <w:p w14:paraId="5B7C6F68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right="-518"/>
        <w:rPr>
          <w:b/>
          <w:color w:val="000000"/>
        </w:rPr>
      </w:pPr>
    </w:p>
    <w:p w14:paraId="211D97F8" w14:textId="77777777" w:rsidR="00C52082" w:rsidRDefault="00451632" w:rsidP="00C5208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right="-518"/>
        <w:jc w:val="both"/>
        <w:rPr>
          <w:color w:val="000000"/>
        </w:rPr>
      </w:pPr>
      <w:r>
        <w:rPr>
          <w:color w:val="000000"/>
        </w:rPr>
        <w:t>La Universidad Diego Portales cuenta con</w:t>
      </w:r>
      <w:r>
        <w:t xml:space="preserve"> </w:t>
      </w:r>
      <w:r>
        <w:rPr>
          <w:color w:val="000000"/>
        </w:rPr>
        <w:t xml:space="preserve">fondos que pondrán a disposición del cuerpo académico </w:t>
      </w:r>
      <w:r w:rsidR="00C52082">
        <w:rPr>
          <w:color w:val="000000"/>
        </w:rPr>
        <w:t xml:space="preserve">que permitan otorgar </w:t>
      </w:r>
      <w:r>
        <w:rPr>
          <w:color w:val="000000"/>
        </w:rPr>
        <w:t xml:space="preserve">nuevos recursos para investigar y publicar. De esta forma, la UDP busca avanzar hacia mayores niveles de complejidad de su proyecto intelectual. </w:t>
      </w:r>
    </w:p>
    <w:p w14:paraId="4FCACD56" w14:textId="6D517247" w:rsidR="00451632" w:rsidRDefault="00451632" w:rsidP="00C5208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right="-518"/>
        <w:jc w:val="both"/>
        <w:rPr>
          <w:color w:val="000000"/>
        </w:rPr>
      </w:pPr>
      <w:r>
        <w:rPr>
          <w:color w:val="000000"/>
        </w:rPr>
        <w:t>Son tres los objetivos específicos a los que se apunta: 1) incentivar la creación de programas de investigación asociativos e interdisciplinarios (lo que recoge las inquietudes manifestadas por los/las académicos/as y sintoniza mejor con la nueva política de investigación científica a nivel nacional); 2) ampliar las oportunidades de emprender proyectos de investigación para académicos/as jornada y 3) disminuir la brecha de productividad existente entre académicos y académicas.</w:t>
      </w:r>
    </w:p>
    <w:p w14:paraId="32342CF1" w14:textId="2028B1CE" w:rsidR="00451632" w:rsidRPr="00DC430D" w:rsidRDefault="00451632" w:rsidP="00451632">
      <w:pPr>
        <w:pStyle w:val="Ttulo1"/>
        <w:tabs>
          <w:tab w:val="left" w:pos="-567"/>
        </w:tabs>
        <w:spacing w:before="223"/>
        <w:ind w:left="-567" w:right="-518"/>
        <w:jc w:val="center"/>
        <w:rPr>
          <w:sz w:val="28"/>
          <w:szCs w:val="28"/>
        </w:rPr>
      </w:pPr>
      <w:r w:rsidRPr="00DC430D">
        <w:rPr>
          <w:sz w:val="28"/>
          <w:szCs w:val="28"/>
        </w:rPr>
        <w:t xml:space="preserve">Fondo </w:t>
      </w:r>
      <w:r>
        <w:rPr>
          <w:sz w:val="28"/>
          <w:szCs w:val="28"/>
        </w:rPr>
        <w:t xml:space="preserve">Específico de Apoyo para el Desarrollo de la Investigación en </w:t>
      </w:r>
      <w:r w:rsidR="000A56C8">
        <w:rPr>
          <w:sz w:val="28"/>
          <w:szCs w:val="28"/>
        </w:rPr>
        <w:t>Salud</w:t>
      </w:r>
    </w:p>
    <w:p w14:paraId="16ACE515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spacing w:before="1"/>
        <w:ind w:left="-567" w:right="-518"/>
        <w:rPr>
          <w:b/>
          <w:color w:val="000000"/>
        </w:rPr>
      </w:pPr>
    </w:p>
    <w:p w14:paraId="01DD0DB5" w14:textId="17080931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-567"/>
        </w:tabs>
        <w:ind w:left="-567" w:right="-518"/>
        <w:jc w:val="both"/>
        <w:rPr>
          <w:color w:val="000000"/>
        </w:rPr>
      </w:pPr>
      <w:r>
        <w:rPr>
          <w:color w:val="000000"/>
        </w:rPr>
        <w:t>Con el objetivo de apoyar a los/as académicos/as de la</w:t>
      </w:r>
      <w:r w:rsidR="000A56C8">
        <w:rPr>
          <w:color w:val="000000"/>
        </w:rPr>
        <w:t>s</w:t>
      </w:r>
      <w:r>
        <w:rPr>
          <w:color w:val="000000"/>
        </w:rPr>
        <w:t xml:space="preserve"> Facultad</w:t>
      </w:r>
      <w:r w:rsidR="000A56C8">
        <w:rPr>
          <w:color w:val="000000"/>
        </w:rPr>
        <w:t>es</w:t>
      </w:r>
      <w:r>
        <w:rPr>
          <w:color w:val="000000"/>
        </w:rPr>
        <w:t xml:space="preserve"> </w:t>
      </w:r>
      <w:r w:rsidR="00B4311B">
        <w:rPr>
          <w:color w:val="000000"/>
        </w:rPr>
        <w:t xml:space="preserve">de Salud y Odontología </w:t>
      </w:r>
      <w:r w:rsidR="000A56C8">
        <w:rPr>
          <w:color w:val="000000"/>
        </w:rPr>
        <w:t xml:space="preserve">y Medicina </w:t>
      </w:r>
      <w:r>
        <w:rPr>
          <w:color w:val="000000"/>
        </w:rPr>
        <w:t>que carezcan de proyectos de investigación</w:t>
      </w:r>
      <w:r w:rsidR="00B4311B">
        <w:rPr>
          <w:color w:val="000000"/>
        </w:rPr>
        <w:t xml:space="preserve"> vigentes</w:t>
      </w:r>
      <w:r>
        <w:rPr>
          <w:color w:val="000000"/>
        </w:rPr>
        <w:t xml:space="preserve">, se ha creado este Fondo, disponiéndose de $9.000.000 anuales, con el objetivo de desarrollar e impulsar nuevos proyectos y publicaciones indexadas en Web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Scopus</w:t>
      </w:r>
      <w:proofErr w:type="spellEnd"/>
      <w:r w:rsidR="00BC2878">
        <w:rPr>
          <w:color w:val="000000"/>
        </w:rPr>
        <w:t xml:space="preserve"> o patentes</w:t>
      </w:r>
      <w:r>
        <w:rPr>
          <w:color w:val="000000"/>
        </w:rPr>
        <w:t xml:space="preserve">. </w:t>
      </w:r>
    </w:p>
    <w:p w14:paraId="18637947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567" w:right="-518" w:hanging="425"/>
        <w:rPr>
          <w:color w:val="000000"/>
        </w:rPr>
      </w:pPr>
    </w:p>
    <w:p w14:paraId="3B3045D4" w14:textId="0CDA773A" w:rsidR="00451632" w:rsidRDefault="00451632" w:rsidP="004516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>Solo se considerarán para esta convocatoria, aquellas iniciativas de académicos/as adscritos a la</w:t>
      </w:r>
      <w:r w:rsidR="000A56C8">
        <w:rPr>
          <w:color w:val="000000"/>
        </w:rPr>
        <w:t>s</w:t>
      </w:r>
      <w:r>
        <w:rPr>
          <w:color w:val="000000"/>
        </w:rPr>
        <w:t xml:space="preserve"> Facultad</w:t>
      </w:r>
      <w:r w:rsidR="000A56C8">
        <w:rPr>
          <w:color w:val="000000"/>
        </w:rPr>
        <w:t>es</w:t>
      </w:r>
      <w:r>
        <w:rPr>
          <w:color w:val="000000"/>
        </w:rPr>
        <w:t xml:space="preserve"> de Salud y Odontologí</w:t>
      </w:r>
      <w:r w:rsidR="000A56C8">
        <w:rPr>
          <w:color w:val="000000"/>
        </w:rPr>
        <w:t>a y Medicina</w:t>
      </w:r>
      <w:r>
        <w:rPr>
          <w:color w:val="000000"/>
        </w:rPr>
        <w:t xml:space="preserve">. Para poder postular a la Convocatoria, deberán </w:t>
      </w:r>
      <w:r>
        <w:rPr>
          <w:b/>
          <w:bCs/>
          <w:color w:val="000000"/>
        </w:rPr>
        <w:t>conformarse duplas de investigadores</w:t>
      </w:r>
      <w:r w:rsidR="00B4311B">
        <w:rPr>
          <w:b/>
          <w:bCs/>
          <w:color w:val="000000"/>
        </w:rPr>
        <w:t>/as</w:t>
      </w:r>
      <w:r w:rsidR="00BD642E">
        <w:rPr>
          <w:b/>
          <w:bCs/>
          <w:color w:val="000000"/>
        </w:rPr>
        <w:t xml:space="preserve"> vinculados a la UDP</w:t>
      </w:r>
      <w:r>
        <w:rPr>
          <w:color w:val="000000"/>
        </w:rPr>
        <w:t xml:space="preserve">, estas deberán estar compuestas por 1 académico/a (jornada regular y/o docente) y 1 académico/a perteneciente a un campo clínico. </w:t>
      </w:r>
    </w:p>
    <w:p w14:paraId="45F3A6DD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</w:p>
    <w:p w14:paraId="2F5545C0" w14:textId="58DDE4D8" w:rsidR="00451632" w:rsidRDefault="00451632" w:rsidP="004516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>Los</w:t>
      </w:r>
      <w:r>
        <w:t xml:space="preserve"> </w:t>
      </w:r>
      <w:r>
        <w:rPr>
          <w:color w:val="000000"/>
        </w:rPr>
        <w:t>proyectos seleccionados se adjudicarán una suma máxima que asciende hasta $</w:t>
      </w:r>
      <w:r w:rsidR="000A56C8">
        <w:rPr>
          <w:color w:val="000000"/>
        </w:rPr>
        <w:t>3</w:t>
      </w:r>
      <w:r>
        <w:rPr>
          <w:color w:val="000000"/>
        </w:rPr>
        <w:t>.000.000. Se considerarán como máximo 1</w:t>
      </w:r>
      <w:r w:rsidR="000A56C8">
        <w:rPr>
          <w:color w:val="000000"/>
        </w:rPr>
        <w:t>8</w:t>
      </w:r>
      <w:r>
        <w:rPr>
          <w:color w:val="000000"/>
        </w:rPr>
        <w:t xml:space="preserve"> meses de duración para lograr todos los objetivos propuestos</w:t>
      </w:r>
      <w:r>
        <w:rPr>
          <w:b/>
          <w:color w:val="000000"/>
        </w:rPr>
        <w:t xml:space="preserve">, pero </w:t>
      </w:r>
      <w:r w:rsidR="00BC2878">
        <w:rPr>
          <w:b/>
          <w:color w:val="000000"/>
        </w:rPr>
        <w:t>el 50% del</w:t>
      </w:r>
      <w:r>
        <w:rPr>
          <w:b/>
          <w:color w:val="000000"/>
        </w:rPr>
        <w:t xml:space="preserve"> </w:t>
      </w:r>
      <w:r w:rsidR="00BC2878">
        <w:rPr>
          <w:b/>
          <w:color w:val="000000"/>
        </w:rPr>
        <w:t>presupuesto deberá ejecutarse antes de diciembre del primer año</w:t>
      </w:r>
      <w:r>
        <w:rPr>
          <w:b/>
          <w:color w:val="000000"/>
        </w:rPr>
        <w:t>.</w:t>
      </w:r>
      <w:r>
        <w:rPr>
          <w:color w:val="000000"/>
        </w:rPr>
        <w:t xml:space="preserve"> Los proyectos se desarrollarán entre el 01 de agosto y el 31 de diciembre del año siguiente.</w:t>
      </w:r>
    </w:p>
    <w:p w14:paraId="7561ABF1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567" w:right="-518" w:hanging="425"/>
        <w:jc w:val="both"/>
        <w:rPr>
          <w:color w:val="000000"/>
        </w:rPr>
      </w:pPr>
    </w:p>
    <w:p w14:paraId="3F0E2A8C" w14:textId="7F64D3F4" w:rsidR="00451632" w:rsidRDefault="00451632" w:rsidP="004516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 xml:space="preserve">Las postulaciones se recibirán hasta </w:t>
      </w:r>
      <w:r w:rsidRPr="000D4D65">
        <w:rPr>
          <w:b/>
          <w:bCs/>
          <w:color w:val="000000"/>
        </w:rPr>
        <w:t xml:space="preserve">el </w:t>
      </w:r>
      <w:r w:rsidR="00A06D5B" w:rsidRPr="000D4D65">
        <w:rPr>
          <w:b/>
          <w:bCs/>
          <w:color w:val="000000"/>
        </w:rPr>
        <w:t>viernes 30 de</w:t>
      </w:r>
      <w:r w:rsidRPr="00A06D5B">
        <w:rPr>
          <w:b/>
          <w:bCs/>
          <w:color w:val="000000"/>
        </w:rPr>
        <w:t xml:space="preserve"> junio a las 18:00</w:t>
      </w:r>
      <w:r w:rsidRPr="000D4D65">
        <w:rPr>
          <w:b/>
          <w:bCs/>
          <w:color w:val="000000"/>
        </w:rPr>
        <w:t xml:space="preserve"> h</w:t>
      </w:r>
      <w:r w:rsidR="00A06D5B" w:rsidRPr="000D4D65">
        <w:rPr>
          <w:b/>
          <w:bCs/>
          <w:color w:val="000000"/>
        </w:rPr>
        <w:t>oras</w:t>
      </w:r>
      <w:r>
        <w:rPr>
          <w:color w:val="000000"/>
        </w:rPr>
        <w:t xml:space="preserve">. Se </w:t>
      </w:r>
      <w:r w:rsidR="00A06D5B">
        <w:rPr>
          <w:color w:val="000000"/>
        </w:rPr>
        <w:t xml:space="preserve">informarán los resultados de adjudicación </w:t>
      </w:r>
      <w:r>
        <w:rPr>
          <w:color w:val="000000"/>
        </w:rPr>
        <w:t>a más tardar en el mes de julio, para ejecutarse desde agosto.</w:t>
      </w:r>
    </w:p>
    <w:p w14:paraId="1D830937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</w:p>
    <w:p w14:paraId="45446D6A" w14:textId="271A7919" w:rsidR="00451632" w:rsidRDefault="00451632" w:rsidP="000D4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>Son requisitos para la postulación al Fondo:</w:t>
      </w:r>
    </w:p>
    <w:p w14:paraId="6D26618F" w14:textId="1EE63074" w:rsidR="00451632" w:rsidRDefault="00451632" w:rsidP="0045163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276" w:right="-518" w:hanging="567"/>
        <w:jc w:val="both"/>
      </w:pPr>
      <w:r>
        <w:rPr>
          <w:color w:val="000000"/>
        </w:rPr>
        <w:t>Ser académico/a jornada (regular o docente), y ser académico/a</w:t>
      </w:r>
      <w:r w:rsidR="00BD642E">
        <w:rPr>
          <w:color w:val="000000"/>
        </w:rPr>
        <w:t xml:space="preserve"> </w:t>
      </w:r>
      <w:r>
        <w:rPr>
          <w:color w:val="000000"/>
        </w:rPr>
        <w:t>de un campo clínico</w:t>
      </w:r>
      <w:r w:rsidR="00BD642E">
        <w:rPr>
          <w:color w:val="000000"/>
        </w:rPr>
        <w:t xml:space="preserve"> vinculado a la UDP</w:t>
      </w:r>
      <w:r w:rsidR="00B4311B">
        <w:rPr>
          <w:color w:val="000000"/>
        </w:rPr>
        <w:t xml:space="preserve"> (dupla debe tener uno/a de cada categoría)</w:t>
      </w:r>
      <w:r>
        <w:rPr>
          <w:color w:val="000000"/>
        </w:rPr>
        <w:t>.</w:t>
      </w:r>
    </w:p>
    <w:p w14:paraId="747993EC" w14:textId="647F8471" w:rsidR="00451632" w:rsidRDefault="00451632" w:rsidP="0045163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276" w:right="-518" w:hanging="567"/>
        <w:jc w:val="both"/>
      </w:pPr>
      <w:r>
        <w:rPr>
          <w:color w:val="000000"/>
        </w:rPr>
        <w:t>Tener</w:t>
      </w:r>
      <w:r w:rsidR="000C5A73">
        <w:rPr>
          <w:color w:val="000000"/>
        </w:rPr>
        <w:t xml:space="preserve"> carta de apoyo</w:t>
      </w:r>
      <w:r>
        <w:rPr>
          <w:color w:val="000000"/>
        </w:rPr>
        <w:t xml:space="preserve"> de su decanatura y la aprobación del tiempo dedicado al proyecto, </w:t>
      </w:r>
      <w:proofErr w:type="gramStart"/>
      <w:r w:rsidR="000A56C8">
        <w:rPr>
          <w:color w:val="000000"/>
        </w:rPr>
        <w:t>de acuerdo a</w:t>
      </w:r>
      <w:proofErr w:type="gramEnd"/>
      <w:r w:rsidR="000A56C8">
        <w:rPr>
          <w:color w:val="000000"/>
        </w:rPr>
        <w:t xml:space="preserve"> los compromisos académicos asumidos en su unidad o Facultad.</w:t>
      </w:r>
    </w:p>
    <w:p w14:paraId="088F5F57" w14:textId="770C97E9" w:rsidR="00451632" w:rsidRDefault="00451632" w:rsidP="0045163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276" w:right="-518" w:hanging="567"/>
        <w:jc w:val="both"/>
      </w:pPr>
      <w:r>
        <w:rPr>
          <w:color w:val="000000"/>
        </w:rPr>
        <w:t>Comprometerse a presentar certificado de envío de una publicación WOS o Scopus al término del proyecto</w:t>
      </w:r>
      <w:r w:rsidR="00BC2878">
        <w:rPr>
          <w:color w:val="000000"/>
        </w:rPr>
        <w:t xml:space="preserve"> o la solicitud de patente</w:t>
      </w:r>
      <w:r>
        <w:rPr>
          <w:color w:val="000000"/>
        </w:rPr>
        <w:t>.</w:t>
      </w:r>
    </w:p>
    <w:p w14:paraId="7F493656" w14:textId="29CCB2B9" w:rsidR="00451632" w:rsidRDefault="00451632" w:rsidP="0045163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276" w:right="-518" w:hanging="567"/>
        <w:jc w:val="both"/>
      </w:pPr>
      <w:r>
        <w:rPr>
          <w:color w:val="000000"/>
        </w:rPr>
        <w:t>Presentar la postulación en formato digital utilizando el formulario “</w:t>
      </w:r>
      <w:r w:rsidRPr="000D4D65">
        <w:rPr>
          <w:b/>
          <w:bCs/>
          <w:color w:val="000000"/>
        </w:rPr>
        <w:t xml:space="preserve">Fondo Específico de Apoyo para el Desarrollo de la Investigación en </w:t>
      </w:r>
      <w:r w:rsidR="000A56C8" w:rsidRPr="000D4D65">
        <w:rPr>
          <w:b/>
          <w:bCs/>
          <w:color w:val="000000"/>
        </w:rPr>
        <w:t>Salud</w:t>
      </w:r>
      <w:r>
        <w:rPr>
          <w:color w:val="000000"/>
        </w:rPr>
        <w:t>” disponible para estos efectos en la página web de investigación e innovación</w:t>
      </w:r>
      <w:r>
        <w:rPr>
          <w:color w:val="0000FF"/>
          <w:u w:val="single"/>
        </w:rPr>
        <w:t xml:space="preserve"> https://investigacioneinnovacion.udp.cl/</w:t>
      </w:r>
    </w:p>
    <w:p w14:paraId="36B6881D" w14:textId="6287CEE5" w:rsidR="00451632" w:rsidRDefault="00451632" w:rsidP="0045163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1276" w:right="-518" w:hanging="567"/>
        <w:jc w:val="both"/>
      </w:pPr>
      <w:r>
        <w:rPr>
          <w:color w:val="000000"/>
        </w:rPr>
        <w:t>Las solicitudes deberán ser enviadas a la Dirección General de Investigación y Doctorados en los plazos del concurso</w:t>
      </w:r>
      <w:r w:rsidR="000C5A73">
        <w:rPr>
          <w:color w:val="000000"/>
        </w:rPr>
        <w:t xml:space="preserve"> a través de correo electrónico</w:t>
      </w:r>
      <w:r w:rsidR="0024047A">
        <w:rPr>
          <w:color w:val="000000"/>
        </w:rPr>
        <w:t xml:space="preserve"> a </w:t>
      </w:r>
      <w:r w:rsidR="000D4D65">
        <w:rPr>
          <w:color w:val="000000"/>
        </w:rPr>
        <w:t>c</w:t>
      </w:r>
      <w:r w:rsidR="0024047A">
        <w:rPr>
          <w:color w:val="000000"/>
        </w:rPr>
        <w:t>amila</w:t>
      </w:r>
      <w:r w:rsidR="000D4D65">
        <w:rPr>
          <w:color w:val="000000"/>
        </w:rPr>
        <w:t>.claps@udp.cl</w:t>
      </w:r>
    </w:p>
    <w:p w14:paraId="13909894" w14:textId="3B3EC2B8" w:rsidR="00451632" w:rsidRDefault="00451632" w:rsidP="0045163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5" w:line="235" w:lineRule="auto"/>
        <w:ind w:left="1276" w:right="-518" w:hanging="567"/>
        <w:jc w:val="both"/>
      </w:pPr>
      <w:r>
        <w:rPr>
          <w:color w:val="000000"/>
        </w:rPr>
        <w:t xml:space="preserve">Para hacer efectiva la adjudicación, y cuando corresponda, se deberá contar con la </w:t>
      </w:r>
      <w:r>
        <w:rPr>
          <w:color w:val="000000"/>
        </w:rPr>
        <w:lastRenderedPageBreak/>
        <w:t xml:space="preserve">certificación ética emitida por el Comité de Ética </w:t>
      </w:r>
      <w:r w:rsidR="00B4311B">
        <w:rPr>
          <w:color w:val="000000"/>
        </w:rPr>
        <w:t xml:space="preserve">en Investigación </w:t>
      </w:r>
      <w:r>
        <w:rPr>
          <w:color w:val="000000"/>
        </w:rPr>
        <w:t xml:space="preserve">o </w:t>
      </w:r>
      <w:r w:rsidR="00B4311B">
        <w:rPr>
          <w:color w:val="000000"/>
        </w:rPr>
        <w:t xml:space="preserve">por el Comité de </w:t>
      </w:r>
      <w:r>
        <w:rPr>
          <w:color w:val="000000"/>
        </w:rPr>
        <w:t>Bio</w:t>
      </w:r>
      <w:r w:rsidR="00B4311B">
        <w:rPr>
          <w:color w:val="000000"/>
        </w:rPr>
        <w:t>seguridad y Bienestar Animal</w:t>
      </w:r>
      <w:r>
        <w:rPr>
          <w:color w:val="000000"/>
        </w:rPr>
        <w:t xml:space="preserve"> UDP (según corresponda) y enviarla a la DGID.</w:t>
      </w:r>
    </w:p>
    <w:p w14:paraId="2D3A29A7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00"/>
        </w:tabs>
        <w:spacing w:before="5" w:line="235" w:lineRule="auto"/>
        <w:ind w:left="567" w:right="-518" w:hanging="425"/>
        <w:jc w:val="both"/>
      </w:pPr>
    </w:p>
    <w:p w14:paraId="246AC638" w14:textId="0B9B11CC" w:rsidR="00451632" w:rsidRDefault="00451632" w:rsidP="004516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 xml:space="preserve">Cada propuesta será evaluada por un/a experto/a externo/a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la UDP y por el Comité Científico UDP. Esta comisión evaluadora </w:t>
      </w:r>
      <w:r w:rsidR="00F639C6">
        <w:rPr>
          <w:color w:val="000000"/>
        </w:rPr>
        <w:t>tendrá</w:t>
      </w:r>
      <w:r>
        <w:rPr>
          <w:color w:val="000000"/>
        </w:rPr>
        <w:t xml:space="preserve"> una composición paritaria de género.</w:t>
      </w:r>
    </w:p>
    <w:p w14:paraId="1AF84121" w14:textId="77777777" w:rsidR="00451632" w:rsidRDefault="00451632" w:rsidP="00BC287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spacing w:before="1"/>
        <w:ind w:right="-518"/>
        <w:jc w:val="both"/>
      </w:pPr>
    </w:p>
    <w:p w14:paraId="04E78A25" w14:textId="43D2DC11" w:rsidR="00451632" w:rsidRDefault="00451632" w:rsidP="000D4D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>Las evaluaciones de los proyectos presentados considerarán principalmente los siguientes criterios:</w:t>
      </w:r>
    </w:p>
    <w:p w14:paraId="41AB6410" w14:textId="2C2A1744" w:rsidR="00451632" w:rsidRDefault="00451632" w:rsidP="0045163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77"/>
        <w:ind w:left="1276" w:right="-518" w:hanging="567"/>
        <w:jc w:val="both"/>
      </w:pPr>
      <w:r>
        <w:rPr>
          <w:color w:val="000000"/>
        </w:rPr>
        <w:t>Calidad de la propuesta: presentación del proyecto, incluyendo su fundamentación y relevancia; calidad del marco conceptual; claridad y coherencia entre hipótesis, objetivos y metodología; originalidad e impacto potencial de la investigación propuesta</w:t>
      </w:r>
      <w:r w:rsidR="000C5A73">
        <w:rPr>
          <w:color w:val="000000"/>
        </w:rPr>
        <w:t>; fundamento de aporte a la planificación estratégica de Facultad</w:t>
      </w:r>
      <w:r>
        <w:rPr>
          <w:color w:val="000000"/>
        </w:rPr>
        <w:t xml:space="preserve">. </w:t>
      </w:r>
    </w:p>
    <w:p w14:paraId="672AA39C" w14:textId="1E3100B9" w:rsidR="00451632" w:rsidRDefault="00451632" w:rsidP="0045163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77"/>
        <w:ind w:left="1276" w:right="-518" w:hanging="567"/>
        <w:jc w:val="both"/>
      </w:pPr>
      <w:r>
        <w:rPr>
          <w:color w:val="000000"/>
        </w:rPr>
        <w:t xml:space="preserve">Viabilidad del proyecto: factibilidad de ejecución de la investigación en conformidad a su duración, recursos solicitados y disponibles, así como también en consideración de los antecedentes curriculares </w:t>
      </w:r>
      <w:r w:rsidR="00F639C6">
        <w:rPr>
          <w:color w:val="000000"/>
        </w:rPr>
        <w:t>de la dupla de investigadores/as.</w:t>
      </w:r>
    </w:p>
    <w:p w14:paraId="69D383CB" w14:textId="41DC8133" w:rsidR="00451632" w:rsidRDefault="00451632" w:rsidP="0045163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1276" w:right="-518" w:hanging="567"/>
        <w:jc w:val="both"/>
      </w:pPr>
      <w:r>
        <w:rPr>
          <w:color w:val="000000"/>
        </w:rPr>
        <w:t>Producción de conocimiento: que el proyecto sirva como base para publicaciones indexadas en miras a fortalecer la trayectoria de los/as investigadores/as.</w:t>
      </w:r>
    </w:p>
    <w:p w14:paraId="6FB23CB5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600"/>
        </w:tabs>
        <w:spacing w:before="1"/>
        <w:ind w:left="567" w:right="-518" w:hanging="425"/>
        <w:jc w:val="both"/>
      </w:pPr>
    </w:p>
    <w:p w14:paraId="23CFD58E" w14:textId="06B17BEA" w:rsidR="00451632" w:rsidRPr="00BC2878" w:rsidRDefault="00451632" w:rsidP="004516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 xml:space="preserve">Los recursos obtenidos no pueden utilizarse en pago de honorarios para los/as investigadores/as. El fondo servirá para pagar: </w:t>
      </w:r>
    </w:p>
    <w:tbl>
      <w:tblPr>
        <w:tblStyle w:val="Tablaconcuadrcula"/>
        <w:tblW w:w="8931" w:type="dxa"/>
        <w:tblInd w:w="562" w:type="dxa"/>
        <w:tblLook w:val="04A0" w:firstRow="1" w:lastRow="0" w:firstColumn="1" w:lastColumn="0" w:noHBand="0" w:noVBand="1"/>
      </w:tblPr>
      <w:tblGrid>
        <w:gridCol w:w="4322"/>
        <w:gridCol w:w="22"/>
        <w:gridCol w:w="4587"/>
      </w:tblGrid>
      <w:tr w:rsidR="00506485" w:rsidRPr="00FC26CB" w14:paraId="60BBE7BA" w14:textId="77777777" w:rsidTr="000D4D65">
        <w:trPr>
          <w:trHeight w:val="341"/>
        </w:trPr>
        <w:tc>
          <w:tcPr>
            <w:tcW w:w="4322" w:type="dxa"/>
            <w:shd w:val="clear" w:color="auto" w:fill="A8D08D" w:themeFill="accent6" w:themeFillTint="99"/>
            <w:vAlign w:val="center"/>
          </w:tcPr>
          <w:p w14:paraId="54AEEF89" w14:textId="77777777" w:rsidR="00506485" w:rsidRPr="00BC2878" w:rsidRDefault="00506485" w:rsidP="008A36A8">
            <w:pPr>
              <w:pStyle w:val="Textoindependiente"/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Ítem</w:t>
            </w:r>
          </w:p>
        </w:tc>
        <w:tc>
          <w:tcPr>
            <w:tcW w:w="4609" w:type="dxa"/>
            <w:gridSpan w:val="2"/>
            <w:shd w:val="clear" w:color="auto" w:fill="A8D08D" w:themeFill="accent6" w:themeFillTint="99"/>
            <w:vAlign w:val="center"/>
          </w:tcPr>
          <w:p w14:paraId="56283D13" w14:textId="77777777" w:rsidR="00506485" w:rsidRPr="00BC2878" w:rsidRDefault="00506485" w:rsidP="008A36A8">
            <w:pPr>
              <w:pStyle w:val="Textoindependiente"/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Observación</w:t>
            </w:r>
          </w:p>
        </w:tc>
      </w:tr>
      <w:tr w:rsidR="00506485" w:rsidRPr="00FC26CB" w14:paraId="0F538990" w14:textId="77777777" w:rsidTr="000D4D65">
        <w:trPr>
          <w:trHeight w:val="197"/>
        </w:trPr>
        <w:tc>
          <w:tcPr>
            <w:tcW w:w="8931" w:type="dxa"/>
            <w:gridSpan w:val="3"/>
            <w:shd w:val="clear" w:color="auto" w:fill="E2EFD9" w:themeFill="accent6" w:themeFillTint="33"/>
            <w:vAlign w:val="center"/>
          </w:tcPr>
          <w:p w14:paraId="23B5C501" w14:textId="77777777" w:rsidR="00506485" w:rsidRPr="00BC2878" w:rsidRDefault="00506485" w:rsidP="008A36A8">
            <w:pPr>
              <w:pStyle w:val="Textoindependiente"/>
              <w:spacing w:after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Honorarios</w:t>
            </w:r>
          </w:p>
        </w:tc>
      </w:tr>
      <w:tr w:rsidR="00506485" w:rsidRPr="00FC26CB" w14:paraId="3F63F6AA" w14:textId="77777777" w:rsidTr="000D4D65">
        <w:trPr>
          <w:trHeight w:val="736"/>
        </w:trPr>
        <w:tc>
          <w:tcPr>
            <w:tcW w:w="4344" w:type="dxa"/>
            <w:gridSpan w:val="2"/>
            <w:vAlign w:val="center"/>
          </w:tcPr>
          <w:p w14:paraId="12D116C2" w14:textId="77777777" w:rsidR="00506485" w:rsidRPr="00BC2878" w:rsidRDefault="00506485" w:rsidP="00506485">
            <w:pPr>
              <w:pStyle w:val="Textoindependiente"/>
              <w:numPr>
                <w:ilvl w:val="0"/>
                <w:numId w:val="8"/>
              </w:numPr>
              <w:tabs>
                <w:tab w:val="left" w:pos="2901"/>
              </w:tabs>
              <w:spacing w:after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Personal técnico o de apoyo</w:t>
            </w:r>
          </w:p>
        </w:tc>
        <w:tc>
          <w:tcPr>
            <w:tcW w:w="4587" w:type="dxa"/>
            <w:vAlign w:val="center"/>
          </w:tcPr>
          <w:p w14:paraId="39B3BCEF" w14:textId="240821A1" w:rsidR="00506485" w:rsidRPr="00BC2878" w:rsidRDefault="00506485" w:rsidP="001323C1">
            <w:pPr>
              <w:pStyle w:val="Textoindependiente"/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 xml:space="preserve">Personas que ejercen funciones de carácter técnico o de apoyo a la investigación durante la ejecución del proyecto. </w:t>
            </w:r>
          </w:p>
        </w:tc>
      </w:tr>
      <w:tr w:rsidR="00506485" w:rsidRPr="00FC26CB" w14:paraId="35DE9247" w14:textId="77777777" w:rsidTr="000D4D65">
        <w:trPr>
          <w:trHeight w:val="250"/>
        </w:trPr>
        <w:tc>
          <w:tcPr>
            <w:tcW w:w="8931" w:type="dxa"/>
            <w:gridSpan w:val="3"/>
            <w:shd w:val="clear" w:color="auto" w:fill="E2EFD9" w:themeFill="accent6" w:themeFillTint="33"/>
            <w:vAlign w:val="center"/>
          </w:tcPr>
          <w:p w14:paraId="3371F55C" w14:textId="77777777" w:rsidR="00506485" w:rsidRPr="00BC2878" w:rsidRDefault="00506485" w:rsidP="008A36A8">
            <w:pPr>
              <w:pStyle w:val="Textoindependiente"/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Gastos de operación</w:t>
            </w:r>
          </w:p>
        </w:tc>
      </w:tr>
      <w:tr w:rsidR="00506485" w:rsidRPr="00FC26CB" w14:paraId="4388983F" w14:textId="77777777" w:rsidTr="000D4D65">
        <w:trPr>
          <w:trHeight w:val="450"/>
        </w:trPr>
        <w:tc>
          <w:tcPr>
            <w:tcW w:w="4344" w:type="dxa"/>
            <w:gridSpan w:val="2"/>
            <w:vAlign w:val="center"/>
          </w:tcPr>
          <w:p w14:paraId="369E8F0D" w14:textId="77777777" w:rsidR="00506485" w:rsidRPr="00BC2878" w:rsidRDefault="00506485" w:rsidP="00506485">
            <w:pPr>
              <w:pStyle w:val="Textoindependiente"/>
              <w:numPr>
                <w:ilvl w:val="0"/>
                <w:numId w:val="8"/>
              </w:numPr>
              <w:spacing w:after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Materiales e insumos</w:t>
            </w:r>
          </w:p>
        </w:tc>
        <w:tc>
          <w:tcPr>
            <w:tcW w:w="4587" w:type="dxa"/>
            <w:vAlign w:val="center"/>
          </w:tcPr>
          <w:p w14:paraId="7BE2B6B8" w14:textId="77777777" w:rsidR="00506485" w:rsidRPr="00BC2878" w:rsidRDefault="00506485" w:rsidP="008A36A8">
            <w:pPr>
              <w:pStyle w:val="Textoindependiente"/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Tales como, materiales fungibles, insumos de oficina e insumos técnicos.</w:t>
            </w:r>
          </w:p>
        </w:tc>
      </w:tr>
      <w:tr w:rsidR="00506485" w:rsidRPr="00FC26CB" w14:paraId="2B625DB8" w14:textId="77777777" w:rsidTr="000D4D65">
        <w:trPr>
          <w:trHeight w:val="444"/>
        </w:trPr>
        <w:tc>
          <w:tcPr>
            <w:tcW w:w="4344" w:type="dxa"/>
            <w:gridSpan w:val="2"/>
            <w:vAlign w:val="center"/>
          </w:tcPr>
          <w:p w14:paraId="6A4575D6" w14:textId="77777777" w:rsidR="00506485" w:rsidRPr="00BC2878" w:rsidRDefault="00506485" w:rsidP="00506485">
            <w:pPr>
              <w:pStyle w:val="Textoindependiente"/>
              <w:numPr>
                <w:ilvl w:val="0"/>
                <w:numId w:val="8"/>
              </w:numPr>
              <w:spacing w:after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Publicaciones</w:t>
            </w:r>
          </w:p>
        </w:tc>
        <w:tc>
          <w:tcPr>
            <w:tcW w:w="4587" w:type="dxa"/>
            <w:vAlign w:val="center"/>
          </w:tcPr>
          <w:p w14:paraId="05C6817D" w14:textId="77777777" w:rsidR="00506485" w:rsidRPr="00BC2878" w:rsidRDefault="00506485" w:rsidP="008A36A8">
            <w:pPr>
              <w:pStyle w:val="Textoindependiente"/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Si el pago de la publicación es en otra divisa, el proyecto asume la diferencia de tipo de cambio</w:t>
            </w:r>
          </w:p>
        </w:tc>
      </w:tr>
      <w:tr w:rsidR="00506485" w:rsidRPr="00FC26CB" w14:paraId="3B6D9F5E" w14:textId="77777777" w:rsidTr="000D4D65">
        <w:trPr>
          <w:trHeight w:val="450"/>
        </w:trPr>
        <w:tc>
          <w:tcPr>
            <w:tcW w:w="4344" w:type="dxa"/>
            <w:gridSpan w:val="2"/>
            <w:vAlign w:val="center"/>
          </w:tcPr>
          <w:p w14:paraId="77B2365B" w14:textId="77777777" w:rsidR="00506485" w:rsidRPr="00BC2878" w:rsidRDefault="00506485" w:rsidP="00506485">
            <w:pPr>
              <w:pStyle w:val="Textoindependiente"/>
              <w:numPr>
                <w:ilvl w:val="0"/>
                <w:numId w:val="8"/>
              </w:numPr>
              <w:spacing w:after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Movilización</w:t>
            </w:r>
          </w:p>
        </w:tc>
        <w:tc>
          <w:tcPr>
            <w:tcW w:w="4587" w:type="dxa"/>
            <w:vAlign w:val="center"/>
          </w:tcPr>
          <w:p w14:paraId="0ADC2B16" w14:textId="77777777" w:rsidR="00506485" w:rsidRPr="00BC2878" w:rsidRDefault="00506485" w:rsidP="008A36A8">
            <w:pPr>
              <w:pStyle w:val="Textoindependiente"/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Específicamente para aquellos proyectos que requieren de trabajo en terreno.</w:t>
            </w:r>
          </w:p>
        </w:tc>
      </w:tr>
      <w:tr w:rsidR="00506485" w:rsidRPr="00FC26CB" w14:paraId="079AD675" w14:textId="77777777" w:rsidTr="000D4D65">
        <w:trPr>
          <w:trHeight w:val="489"/>
        </w:trPr>
        <w:tc>
          <w:tcPr>
            <w:tcW w:w="4344" w:type="dxa"/>
            <w:gridSpan w:val="2"/>
            <w:vAlign w:val="center"/>
          </w:tcPr>
          <w:p w14:paraId="7787B1B6" w14:textId="77777777" w:rsidR="00506485" w:rsidRPr="00BC2878" w:rsidRDefault="00506485" w:rsidP="00506485">
            <w:pPr>
              <w:pStyle w:val="Textoindependiente"/>
              <w:numPr>
                <w:ilvl w:val="0"/>
                <w:numId w:val="8"/>
              </w:numPr>
              <w:spacing w:after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Servicios generales</w:t>
            </w:r>
          </w:p>
        </w:tc>
        <w:tc>
          <w:tcPr>
            <w:tcW w:w="4587" w:type="dxa"/>
            <w:vAlign w:val="center"/>
          </w:tcPr>
          <w:p w14:paraId="2BB987C8" w14:textId="77777777" w:rsidR="00506485" w:rsidRPr="00BC2878" w:rsidRDefault="00506485" w:rsidP="008A36A8">
            <w:pPr>
              <w:pStyle w:val="Textoindependiente"/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Tales como pago personal ocasional.</w:t>
            </w:r>
          </w:p>
        </w:tc>
      </w:tr>
      <w:tr w:rsidR="00506485" w:rsidRPr="00FC26CB" w14:paraId="62D956DD" w14:textId="77777777" w:rsidTr="000D4D65">
        <w:trPr>
          <w:trHeight w:val="183"/>
        </w:trPr>
        <w:tc>
          <w:tcPr>
            <w:tcW w:w="8931" w:type="dxa"/>
            <w:gridSpan w:val="3"/>
            <w:shd w:val="clear" w:color="auto" w:fill="E2EFD9" w:themeFill="accent6" w:themeFillTint="33"/>
            <w:vAlign w:val="center"/>
          </w:tcPr>
          <w:p w14:paraId="5A21EEF7" w14:textId="77777777" w:rsidR="00506485" w:rsidRPr="00BC2878" w:rsidRDefault="00506485" w:rsidP="008A36A8">
            <w:pPr>
              <w:pStyle w:val="Textoindependiente"/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Bienes de Capital</w:t>
            </w:r>
          </w:p>
        </w:tc>
      </w:tr>
      <w:tr w:rsidR="00506485" w:rsidRPr="00FC26CB" w14:paraId="5829B65F" w14:textId="77777777" w:rsidTr="000D4D65">
        <w:trPr>
          <w:trHeight w:val="804"/>
        </w:trPr>
        <w:tc>
          <w:tcPr>
            <w:tcW w:w="4344" w:type="dxa"/>
            <w:gridSpan w:val="2"/>
            <w:vAlign w:val="center"/>
          </w:tcPr>
          <w:p w14:paraId="46E65405" w14:textId="77777777" w:rsidR="00506485" w:rsidRPr="00BC2878" w:rsidRDefault="00506485" w:rsidP="00506485">
            <w:pPr>
              <w:pStyle w:val="Textoindependiente"/>
              <w:numPr>
                <w:ilvl w:val="0"/>
                <w:numId w:val="8"/>
              </w:numPr>
              <w:spacing w:after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Equipos</w:t>
            </w:r>
          </w:p>
        </w:tc>
        <w:tc>
          <w:tcPr>
            <w:tcW w:w="4587" w:type="dxa"/>
            <w:vMerge w:val="restart"/>
            <w:vAlign w:val="center"/>
          </w:tcPr>
          <w:p w14:paraId="0D3227B3" w14:textId="77777777" w:rsidR="00506485" w:rsidRPr="00BC2878" w:rsidRDefault="00506485" w:rsidP="008A36A8">
            <w:pPr>
              <w:pStyle w:val="Textoindependiente"/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Deben ser comprados a través de TI o Bibliotecas, según corresponda. Serán inventariados y asegurados en la Universidad. Pasarán a ser propiedad de la unidad académica a la cual pertenece la investigadora, al momento de su compra.</w:t>
            </w:r>
          </w:p>
        </w:tc>
      </w:tr>
      <w:tr w:rsidR="00506485" w:rsidRPr="00FC26CB" w14:paraId="515DD84C" w14:textId="77777777" w:rsidTr="000D4D65">
        <w:trPr>
          <w:trHeight w:val="529"/>
        </w:trPr>
        <w:tc>
          <w:tcPr>
            <w:tcW w:w="4344" w:type="dxa"/>
            <w:gridSpan w:val="2"/>
            <w:vAlign w:val="center"/>
          </w:tcPr>
          <w:p w14:paraId="53464B21" w14:textId="77777777" w:rsidR="00506485" w:rsidRPr="00FC26CB" w:rsidRDefault="00506485" w:rsidP="00506485">
            <w:pPr>
              <w:pStyle w:val="Textoindependiente"/>
              <w:numPr>
                <w:ilvl w:val="0"/>
                <w:numId w:val="8"/>
              </w:numPr>
              <w:spacing w:after="0"/>
              <w:rPr>
                <w:rFonts w:cstheme="minorHAnsi" w:hint="eastAsia"/>
                <w:sz w:val="20"/>
                <w:szCs w:val="20"/>
              </w:rPr>
            </w:pPr>
            <w:r w:rsidRPr="00BC287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s-ES" w:eastAsia="es-CL" w:bidi="ar-SA"/>
              </w:rPr>
              <w:t>Bibliografía</w:t>
            </w:r>
          </w:p>
        </w:tc>
        <w:tc>
          <w:tcPr>
            <w:tcW w:w="4587" w:type="dxa"/>
            <w:vMerge/>
            <w:vAlign w:val="center"/>
          </w:tcPr>
          <w:p w14:paraId="4ABD0B0D" w14:textId="77777777" w:rsidR="00506485" w:rsidRPr="00FC26CB" w:rsidRDefault="00506485" w:rsidP="008A36A8">
            <w:pPr>
              <w:pStyle w:val="Textoindependiente"/>
              <w:spacing w:after="0"/>
              <w:rPr>
                <w:rFonts w:cstheme="minorHAnsi" w:hint="eastAsia"/>
                <w:sz w:val="20"/>
                <w:szCs w:val="20"/>
              </w:rPr>
            </w:pPr>
          </w:p>
        </w:tc>
      </w:tr>
    </w:tbl>
    <w:p w14:paraId="77406E57" w14:textId="1711D5E2" w:rsidR="00451632" w:rsidRDefault="0018751B" w:rsidP="00BC2878">
      <w:pPr>
        <w:pStyle w:val="Textoindependiente"/>
        <w:ind w:firstLine="567"/>
        <w:jc w:val="both"/>
        <w:rPr>
          <w:rFonts w:hint="eastAsia"/>
        </w:rPr>
      </w:pPr>
      <w:r w:rsidRPr="00BC2878">
        <w:rPr>
          <w:rFonts w:ascii="Calibri" w:eastAsia="Calibri" w:hAnsi="Calibri" w:cs="Calibri"/>
          <w:b/>
          <w:bCs/>
          <w:color w:val="000000"/>
          <w:sz w:val="22"/>
          <w:szCs w:val="22"/>
          <w:lang w:val="es-ES" w:eastAsia="es-CL" w:bidi="ar-SA"/>
        </w:rPr>
        <w:t>Importante</w:t>
      </w:r>
      <w:r w:rsidRPr="00BC2878">
        <w:rPr>
          <w:rFonts w:ascii="Calibri" w:eastAsia="Calibri" w:hAnsi="Calibri" w:cs="Calibri"/>
          <w:color w:val="000000"/>
          <w:sz w:val="22"/>
          <w:szCs w:val="22"/>
          <w:lang w:val="es-ES" w:eastAsia="es-CL" w:bidi="ar-SA"/>
        </w:rPr>
        <w:t xml:space="preserve">: Este programa NO financia Pasajes, Viáticos ni Alojamiento. </w:t>
      </w:r>
    </w:p>
    <w:p w14:paraId="7DD603ED" w14:textId="302705E5" w:rsidR="00451632" w:rsidRDefault="00451632" w:rsidP="004516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>Las publicaciones, y todo producto que se genere a partir del proyecto, deberá llevar explícitamente la afiliación a la UDP.</w:t>
      </w:r>
    </w:p>
    <w:p w14:paraId="166192E9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</w:p>
    <w:p w14:paraId="384DB934" w14:textId="77777777" w:rsidR="00451632" w:rsidRDefault="00451632" w:rsidP="004516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  <w:r>
        <w:rPr>
          <w:color w:val="000000"/>
        </w:rPr>
        <w:t>El informe final del proyecto deberá contener todos los compromisos adquiridos al momento de postular. Este deberá enviarse a la DGID y a su decanatura (o superior directo).</w:t>
      </w:r>
    </w:p>
    <w:p w14:paraId="18C6E173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80"/>
        </w:tabs>
        <w:ind w:left="567" w:right="-518" w:hanging="425"/>
        <w:jc w:val="both"/>
      </w:pPr>
    </w:p>
    <w:p w14:paraId="72E624F7" w14:textId="77777777" w:rsidR="000D4D65" w:rsidRDefault="000D4D65" w:rsidP="00BC28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right="-518"/>
        <w:jc w:val="center"/>
        <w:rPr>
          <w:b/>
          <w:sz w:val="28"/>
          <w:szCs w:val="28"/>
        </w:rPr>
      </w:pPr>
    </w:p>
    <w:p w14:paraId="6E97C67D" w14:textId="74B8DC3E" w:rsidR="00451632" w:rsidRPr="00DC430D" w:rsidRDefault="00451632" w:rsidP="00BC287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60" w:line="259" w:lineRule="auto"/>
        <w:ind w:right="-518"/>
        <w:jc w:val="center"/>
        <w:rPr>
          <w:b/>
          <w:sz w:val="28"/>
          <w:szCs w:val="28"/>
        </w:rPr>
      </w:pPr>
      <w:r w:rsidRPr="00DC430D">
        <w:rPr>
          <w:b/>
          <w:sz w:val="28"/>
          <w:szCs w:val="28"/>
        </w:rPr>
        <w:t>CONSIDERACIONES ÉTICAS FONDOS INTERNOS UDP.</w:t>
      </w:r>
    </w:p>
    <w:p w14:paraId="4FA68B6A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567" w:right="-518" w:hanging="425"/>
        <w:rPr>
          <w:b/>
          <w:color w:val="000000"/>
        </w:rPr>
      </w:pPr>
    </w:p>
    <w:p w14:paraId="433F51D3" w14:textId="77777777" w:rsidR="00451632" w:rsidRDefault="00451632" w:rsidP="0045163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20"/>
        </w:tabs>
        <w:ind w:left="567" w:right="-518" w:hanging="425"/>
        <w:jc w:val="both"/>
      </w:pPr>
      <w:r>
        <w:rPr>
          <w:color w:val="000000"/>
        </w:rPr>
        <w:t>Los/as investigadores/as de proyectos con financiamiento UDP deben cumplir con las normativas vigentes y los estándares que regulan la actividad científica en las áreas específicas del proyecto, según corresponda. Estas normas han sido adaptadas de las Bases de Concurso FONDECYT.</w:t>
      </w:r>
    </w:p>
    <w:p w14:paraId="6F32F034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567" w:right="-518" w:hanging="425"/>
        <w:rPr>
          <w:color w:val="000000"/>
        </w:rPr>
      </w:pPr>
    </w:p>
    <w:p w14:paraId="1035F1F4" w14:textId="77777777" w:rsidR="00451632" w:rsidRDefault="00451632" w:rsidP="0045163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20"/>
        </w:tabs>
        <w:ind w:left="567" w:right="-518" w:hanging="425"/>
        <w:jc w:val="both"/>
      </w:pPr>
      <w:r>
        <w:rPr>
          <w:color w:val="000000"/>
        </w:rPr>
        <w:t>Los proyectos deberán enviar su postulación tanto a la Vicerrectoría de Investigación y Desarrollo, como a los Comités de Ética y de Bioseguridad y Bienestar Animal de la Universidad según corresponda. Si luego de la revisión hay observaciones éticas y/o procedimentales, el/la investigador/a responsable deberá contestarlas y resolverlas, antes de comenzar el proyecto, de lo contrario, los fondos asignados no podrán ser ejecutados.</w:t>
      </w:r>
    </w:p>
    <w:p w14:paraId="008FE93F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567" w:right="-518" w:hanging="425"/>
        <w:rPr>
          <w:color w:val="000000"/>
        </w:rPr>
      </w:pPr>
    </w:p>
    <w:p w14:paraId="2BF3D3EE" w14:textId="77777777" w:rsidR="00451632" w:rsidRDefault="00451632" w:rsidP="00451632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520"/>
        </w:tabs>
        <w:ind w:left="567" w:right="-518" w:hanging="425"/>
        <w:jc w:val="both"/>
      </w:pPr>
      <w:r>
        <w:rPr>
          <w:color w:val="000000"/>
        </w:rPr>
        <w:t>Dentro de las consideraciones éticas se debe tener en cuenta lo siguiente:</w:t>
      </w:r>
    </w:p>
    <w:p w14:paraId="44161439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8"/>
        <w:ind w:left="567" w:right="-518" w:hanging="425"/>
        <w:rPr>
          <w:color w:val="000000"/>
          <w:sz w:val="21"/>
          <w:szCs w:val="21"/>
        </w:rPr>
      </w:pPr>
    </w:p>
    <w:p w14:paraId="4DA93B1E" w14:textId="71BFC1AC" w:rsidR="00451632" w:rsidRPr="00DC430D" w:rsidRDefault="00451632" w:rsidP="00451632">
      <w:pPr>
        <w:pStyle w:val="Ttulo1"/>
        <w:numPr>
          <w:ilvl w:val="2"/>
          <w:numId w:val="1"/>
        </w:numPr>
        <w:tabs>
          <w:tab w:val="left" w:pos="567"/>
          <w:tab w:val="left" w:pos="1880"/>
        </w:tabs>
        <w:spacing w:before="0"/>
        <w:ind w:left="567" w:right="-518" w:hanging="425"/>
        <w:jc w:val="both"/>
      </w:pPr>
      <w:r>
        <w:t>Proyectos con seres humanos y/o material biológico humano:</w:t>
      </w:r>
    </w:p>
    <w:p w14:paraId="73956816" w14:textId="02250E0C" w:rsidR="00451632" w:rsidRDefault="00451632" w:rsidP="000D4D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567" w:right="-518"/>
        <w:jc w:val="both"/>
        <w:rPr>
          <w:color w:val="000000"/>
        </w:rPr>
      </w:pPr>
      <w:r>
        <w:rPr>
          <w:color w:val="000000"/>
        </w:rPr>
        <w:t xml:space="preserve">Todos los proyectos que involucren estudios en o con seres humanos (biomédicos, </w:t>
      </w:r>
      <w:proofErr w:type="gramStart"/>
      <w:r>
        <w:rPr>
          <w:color w:val="000000"/>
        </w:rPr>
        <w:t>pre clínicos</w:t>
      </w:r>
      <w:proofErr w:type="gramEnd"/>
      <w:r>
        <w:rPr>
          <w:color w:val="000000"/>
        </w:rPr>
        <w:t xml:space="preserve">, clínicos, en ciencias sociales, educacionales, etc.) que incluyan muestras, datos personales, realización de encuestas, entrevistas, </w:t>
      </w:r>
      <w:proofErr w:type="spellStart"/>
      <w:r>
        <w:rPr>
          <w:color w:val="000000"/>
        </w:rPr>
        <w:t>focus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>, entre otras, deben contar con:</w:t>
      </w:r>
    </w:p>
    <w:p w14:paraId="45C7134C" w14:textId="77777777" w:rsidR="00451632" w:rsidRDefault="00451632" w:rsidP="00451632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left="1276" w:right="-518" w:hanging="567"/>
        <w:jc w:val="both"/>
      </w:pPr>
      <w:r>
        <w:rPr>
          <w:color w:val="000000"/>
        </w:rPr>
        <w:t>Certificado de aprobación ética otorgado por el Comité de Ética de la UDP. Este será requerido antes de poner en marcha el proyecto.</w:t>
      </w:r>
    </w:p>
    <w:p w14:paraId="013C1578" w14:textId="77777777" w:rsidR="00451632" w:rsidRDefault="00451632" w:rsidP="00451632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1"/>
        <w:ind w:left="1276" w:right="-518" w:hanging="567"/>
        <w:jc w:val="both"/>
      </w:pPr>
      <w:r>
        <w:rPr>
          <w:color w:val="000000"/>
        </w:rPr>
        <w:t>Para investigación con comunidades y/o pueblos originarios se requiere además presentar, en la medida de lo posible, la autorización de la comunidad o de la autoridad correspondiente.</w:t>
      </w:r>
    </w:p>
    <w:p w14:paraId="79103B50" w14:textId="77777777" w:rsidR="00451632" w:rsidRDefault="00451632" w:rsidP="00451632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spacing w:before="1"/>
        <w:ind w:left="1276" w:right="-518" w:hanging="567"/>
        <w:jc w:val="both"/>
      </w:pPr>
      <w:r>
        <w:rPr>
          <w:color w:val="000000"/>
        </w:rPr>
        <w:t>Documentos de Consentimiento Informado, Asentimiento y Consentimiento parental, según corresponda, preparados de manera específica para este concurso.</w:t>
      </w:r>
    </w:p>
    <w:p w14:paraId="7EC05808" w14:textId="5EABC1EE" w:rsidR="00451632" w:rsidRDefault="00451632" w:rsidP="00451632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</w:tabs>
        <w:ind w:left="1276" w:right="-518" w:hanging="567"/>
        <w:jc w:val="both"/>
      </w:pPr>
      <w:r>
        <w:rPr>
          <w:color w:val="000000"/>
        </w:rPr>
        <w:t xml:space="preserve">Carta solicitud de autorización dirigida al </w:t>
      </w:r>
      <w:proofErr w:type="gramStart"/>
      <w:r>
        <w:rPr>
          <w:color w:val="000000"/>
        </w:rPr>
        <w:t>Director</w:t>
      </w:r>
      <w:proofErr w:type="gramEnd"/>
      <w:r>
        <w:rPr>
          <w:color w:val="000000"/>
        </w:rPr>
        <w:t xml:space="preserve"> del establecimiento </w:t>
      </w:r>
      <w:r w:rsidR="006464BA">
        <w:rPr>
          <w:color w:val="000000"/>
        </w:rPr>
        <w:t xml:space="preserve">educacional o clínico </w:t>
      </w:r>
      <w:r>
        <w:rPr>
          <w:color w:val="000000"/>
        </w:rPr>
        <w:t>(u otra organización similar), si corresponde.</w:t>
      </w:r>
    </w:p>
    <w:p w14:paraId="33FE2CE8" w14:textId="77777777" w:rsidR="00451632" w:rsidRDefault="00451632" w:rsidP="00451632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3003"/>
        </w:tabs>
        <w:spacing w:before="1"/>
        <w:ind w:left="1276" w:right="-518" w:hanging="567"/>
        <w:jc w:val="both"/>
      </w:pPr>
      <w:r>
        <w:rPr>
          <w:color w:val="000000"/>
        </w:rPr>
        <w:t>En caso de usar información sensible extraída de bases de datos, deberán anexar las autorizaciones correspondientes e indicar de qué manera se protegerá la información obtenida.</w:t>
      </w:r>
    </w:p>
    <w:p w14:paraId="390D9FD1" w14:textId="77777777" w:rsidR="00451632" w:rsidRDefault="00451632" w:rsidP="004516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8"/>
        <w:ind w:left="567" w:right="-518" w:hanging="425"/>
        <w:rPr>
          <w:color w:val="000000"/>
          <w:sz w:val="21"/>
          <w:szCs w:val="21"/>
        </w:rPr>
      </w:pPr>
    </w:p>
    <w:p w14:paraId="0153E1E9" w14:textId="6A5C8B84" w:rsidR="00451632" w:rsidRPr="00DC430D" w:rsidRDefault="00451632" w:rsidP="00451632">
      <w:pPr>
        <w:pStyle w:val="Ttulo1"/>
        <w:numPr>
          <w:ilvl w:val="2"/>
          <w:numId w:val="1"/>
        </w:numPr>
        <w:tabs>
          <w:tab w:val="left" w:pos="567"/>
          <w:tab w:val="left" w:pos="1880"/>
        </w:tabs>
        <w:spacing w:before="0"/>
        <w:ind w:left="567" w:right="-518" w:hanging="425"/>
      </w:pPr>
      <w:r>
        <w:t>Proyectos con animales, muestras animales:</w:t>
      </w:r>
    </w:p>
    <w:p w14:paraId="60918B0D" w14:textId="62988EA4" w:rsidR="00451632" w:rsidRDefault="00451632" w:rsidP="000D4D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/>
        <w:ind w:left="567" w:right="-518"/>
        <w:rPr>
          <w:color w:val="000000"/>
        </w:rPr>
      </w:pPr>
      <w:r>
        <w:rPr>
          <w:color w:val="000000"/>
        </w:rPr>
        <w:t xml:space="preserve">Mayores especificaciones en </w:t>
      </w:r>
      <w:hyperlink r:id="rId8">
        <w:r>
          <w:rPr>
            <w:color w:val="0000FF"/>
            <w:u w:val="single"/>
          </w:rPr>
          <w:t>http://www.CONICYT.cl/FONDECYT/2012/10/31/bioetica/</w:t>
        </w:r>
      </w:hyperlink>
      <w:hyperlink r:id="rId9">
        <w:r>
          <w:rPr>
            <w:color w:val="000000"/>
          </w:rPr>
          <w:t>,</w:t>
        </w:r>
      </w:hyperlink>
      <w:r>
        <w:rPr>
          <w:color w:val="000000"/>
        </w:rPr>
        <w:t xml:space="preserve"> estos proyectos deben considerar:</w:t>
      </w:r>
    </w:p>
    <w:p w14:paraId="4A905018" w14:textId="77777777" w:rsidR="00451632" w:rsidRDefault="00451632" w:rsidP="00451632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18"/>
        </w:tabs>
        <w:ind w:left="1276" w:right="-518" w:hanging="425"/>
      </w:pPr>
      <w:r>
        <w:rPr>
          <w:color w:val="000000"/>
        </w:rPr>
        <w:t>Certificado de aprobación ética otorgado por la institución donde se mantendrán los animales/lugar de realización de la investigación.</w:t>
      </w:r>
    </w:p>
    <w:p w14:paraId="1D5D8D20" w14:textId="77777777" w:rsidR="00451632" w:rsidRDefault="00451632" w:rsidP="00451632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18"/>
        </w:tabs>
        <w:spacing w:before="1"/>
        <w:ind w:left="1276" w:right="-518" w:hanging="425"/>
      </w:pPr>
      <w:r>
        <w:rPr>
          <w:color w:val="000000"/>
        </w:rPr>
        <w:t>Protocolo de manejo animal.</w:t>
      </w:r>
    </w:p>
    <w:p w14:paraId="76CDA35B" w14:textId="505CA984" w:rsidR="00451632" w:rsidRDefault="00451632" w:rsidP="000D4D65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418"/>
        </w:tabs>
        <w:ind w:left="1276" w:right="-518" w:hanging="425"/>
      </w:pPr>
      <w:r>
        <w:rPr>
          <w:color w:val="000000"/>
        </w:rPr>
        <w:t>Protocolo de supervisión en animales.</w:t>
      </w:r>
    </w:p>
    <w:sectPr w:rsidR="0045163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41A9" w14:textId="77777777" w:rsidR="00B11C12" w:rsidRDefault="00B11C12">
      <w:r>
        <w:separator/>
      </w:r>
    </w:p>
  </w:endnote>
  <w:endnote w:type="continuationSeparator" w:id="0">
    <w:p w14:paraId="391908E5" w14:textId="77777777" w:rsidR="00B11C12" w:rsidRDefault="00B1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A8BA" w14:textId="77777777" w:rsidR="00B11C12" w:rsidRDefault="00B11C12">
      <w:r>
        <w:separator/>
      </w:r>
    </w:p>
  </w:footnote>
  <w:footnote w:type="continuationSeparator" w:id="0">
    <w:p w14:paraId="289ED960" w14:textId="77777777" w:rsidR="00B11C12" w:rsidRDefault="00B1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0D78" w14:textId="54E7B4B6" w:rsidR="00DC430D" w:rsidRDefault="00BC2878" w:rsidP="00B4311B">
    <w:pPr>
      <w:pStyle w:val="Encabezado"/>
      <w:jc w:val="center"/>
    </w:pPr>
    <w:r>
      <w:rPr>
        <w:noProof/>
      </w:rPr>
      <w:drawing>
        <wp:inline distT="0" distB="0" distL="0" distR="0" wp14:anchorId="580C811C" wp14:editId="51338E4F">
          <wp:extent cx="1455420" cy="693057"/>
          <wp:effectExtent l="0" t="0" r="0" b="0"/>
          <wp:docPr id="1571843623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843623" name="Imagen 1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441" cy="70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0D545" w14:textId="77777777" w:rsidR="00B4311B" w:rsidRDefault="00B4311B" w:rsidP="00B4311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777"/>
    <w:multiLevelType w:val="multilevel"/>
    <w:tmpl w:val="A4B06F4C"/>
    <w:lvl w:ilvl="0">
      <w:start w:val="1"/>
      <w:numFmt w:val="decimal"/>
      <w:lvlText w:val="%1."/>
      <w:lvlJc w:val="left"/>
      <w:pPr>
        <w:ind w:left="1879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599" w:hanging="360"/>
      </w:pPr>
      <w:rPr>
        <w:sz w:val="22"/>
        <w:szCs w:val="22"/>
      </w:rPr>
    </w:lvl>
    <w:lvl w:ilvl="2">
      <w:start w:val="1"/>
      <w:numFmt w:val="bullet"/>
      <w:lvlText w:val="•"/>
      <w:lvlJc w:val="left"/>
      <w:pPr>
        <w:ind w:left="3551" w:hanging="360"/>
      </w:pPr>
    </w:lvl>
    <w:lvl w:ilvl="3">
      <w:start w:val="1"/>
      <w:numFmt w:val="bullet"/>
      <w:lvlText w:val="•"/>
      <w:lvlJc w:val="left"/>
      <w:pPr>
        <w:ind w:left="4502" w:hanging="360"/>
      </w:pPr>
    </w:lvl>
    <w:lvl w:ilvl="4">
      <w:start w:val="1"/>
      <w:numFmt w:val="bullet"/>
      <w:lvlText w:val="•"/>
      <w:lvlJc w:val="left"/>
      <w:pPr>
        <w:ind w:left="5453" w:hanging="360"/>
      </w:pPr>
    </w:lvl>
    <w:lvl w:ilvl="5">
      <w:start w:val="1"/>
      <w:numFmt w:val="bullet"/>
      <w:lvlText w:val="•"/>
      <w:lvlJc w:val="left"/>
      <w:pPr>
        <w:ind w:left="6404" w:hanging="360"/>
      </w:pPr>
    </w:lvl>
    <w:lvl w:ilvl="6">
      <w:start w:val="1"/>
      <w:numFmt w:val="bullet"/>
      <w:lvlText w:val="•"/>
      <w:lvlJc w:val="left"/>
      <w:pPr>
        <w:ind w:left="7355" w:hanging="360"/>
      </w:pPr>
    </w:lvl>
    <w:lvl w:ilvl="7">
      <w:start w:val="1"/>
      <w:numFmt w:val="bullet"/>
      <w:lvlText w:val="•"/>
      <w:lvlJc w:val="left"/>
      <w:pPr>
        <w:ind w:left="8306" w:hanging="360"/>
      </w:pPr>
    </w:lvl>
    <w:lvl w:ilvl="8">
      <w:start w:val="1"/>
      <w:numFmt w:val="bullet"/>
      <w:lvlText w:val="•"/>
      <w:lvlJc w:val="left"/>
      <w:pPr>
        <w:ind w:left="9257" w:hanging="360"/>
      </w:pPr>
    </w:lvl>
  </w:abstractNum>
  <w:abstractNum w:abstractNumId="1" w15:restartNumberingAfterBreak="0">
    <w:nsid w:val="2FBD2E22"/>
    <w:multiLevelType w:val="multilevel"/>
    <w:tmpl w:val="0C8E0EA2"/>
    <w:lvl w:ilvl="0">
      <w:start w:val="1"/>
      <w:numFmt w:val="decimal"/>
      <w:lvlText w:val="%1"/>
      <w:lvlJc w:val="left"/>
      <w:pPr>
        <w:ind w:left="1519" w:hanging="360"/>
      </w:pPr>
    </w:lvl>
    <w:lvl w:ilvl="1">
      <w:start w:val="1"/>
      <w:numFmt w:val="decimal"/>
      <w:lvlText w:val="%1.%2."/>
      <w:lvlJc w:val="left"/>
      <w:pPr>
        <w:ind w:left="1519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879" w:hanging="36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bullet"/>
      <w:lvlText w:val="▪"/>
      <w:lvlJc w:val="left"/>
      <w:pPr>
        <w:ind w:left="2959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start w:val="1"/>
      <w:numFmt w:val="bullet"/>
      <w:lvlText w:val="•"/>
      <w:lvlJc w:val="left"/>
      <w:pPr>
        <w:ind w:left="5010" w:hanging="360"/>
      </w:pPr>
    </w:lvl>
    <w:lvl w:ilvl="5">
      <w:start w:val="1"/>
      <w:numFmt w:val="bullet"/>
      <w:lvlText w:val="•"/>
      <w:lvlJc w:val="left"/>
      <w:pPr>
        <w:ind w:left="6035" w:hanging="360"/>
      </w:pPr>
    </w:lvl>
    <w:lvl w:ilvl="6">
      <w:start w:val="1"/>
      <w:numFmt w:val="bullet"/>
      <w:lvlText w:val="•"/>
      <w:lvlJc w:val="left"/>
      <w:pPr>
        <w:ind w:left="7060" w:hanging="360"/>
      </w:pPr>
    </w:lvl>
    <w:lvl w:ilvl="7">
      <w:start w:val="1"/>
      <w:numFmt w:val="bullet"/>
      <w:lvlText w:val="•"/>
      <w:lvlJc w:val="left"/>
      <w:pPr>
        <w:ind w:left="8085" w:hanging="360"/>
      </w:pPr>
    </w:lvl>
    <w:lvl w:ilvl="8">
      <w:start w:val="1"/>
      <w:numFmt w:val="bullet"/>
      <w:lvlText w:val="•"/>
      <w:lvlJc w:val="left"/>
      <w:pPr>
        <w:ind w:left="9110" w:hanging="360"/>
      </w:pPr>
    </w:lvl>
  </w:abstractNum>
  <w:abstractNum w:abstractNumId="2" w15:restartNumberingAfterBreak="0">
    <w:nsid w:val="45700F65"/>
    <w:multiLevelType w:val="multilevel"/>
    <w:tmpl w:val="8F820E9C"/>
    <w:lvl w:ilvl="0">
      <w:start w:val="1"/>
      <w:numFmt w:val="decimal"/>
      <w:lvlText w:val="%1."/>
      <w:lvlJc w:val="left"/>
      <w:pPr>
        <w:ind w:left="1879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599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3551" w:hanging="360"/>
      </w:pPr>
    </w:lvl>
    <w:lvl w:ilvl="3">
      <w:start w:val="1"/>
      <w:numFmt w:val="bullet"/>
      <w:lvlText w:val="•"/>
      <w:lvlJc w:val="left"/>
      <w:pPr>
        <w:ind w:left="4502" w:hanging="360"/>
      </w:pPr>
    </w:lvl>
    <w:lvl w:ilvl="4">
      <w:start w:val="1"/>
      <w:numFmt w:val="bullet"/>
      <w:lvlText w:val="•"/>
      <w:lvlJc w:val="left"/>
      <w:pPr>
        <w:ind w:left="5453" w:hanging="360"/>
      </w:pPr>
    </w:lvl>
    <w:lvl w:ilvl="5">
      <w:start w:val="1"/>
      <w:numFmt w:val="bullet"/>
      <w:lvlText w:val="•"/>
      <w:lvlJc w:val="left"/>
      <w:pPr>
        <w:ind w:left="6404" w:hanging="360"/>
      </w:pPr>
    </w:lvl>
    <w:lvl w:ilvl="6">
      <w:start w:val="1"/>
      <w:numFmt w:val="bullet"/>
      <w:lvlText w:val="•"/>
      <w:lvlJc w:val="left"/>
      <w:pPr>
        <w:ind w:left="7355" w:hanging="360"/>
      </w:pPr>
    </w:lvl>
    <w:lvl w:ilvl="7">
      <w:start w:val="1"/>
      <w:numFmt w:val="bullet"/>
      <w:lvlText w:val="•"/>
      <w:lvlJc w:val="left"/>
      <w:pPr>
        <w:ind w:left="8306" w:hanging="360"/>
      </w:pPr>
    </w:lvl>
    <w:lvl w:ilvl="8">
      <w:start w:val="1"/>
      <w:numFmt w:val="bullet"/>
      <w:lvlText w:val="•"/>
      <w:lvlJc w:val="left"/>
      <w:pPr>
        <w:ind w:left="9257" w:hanging="360"/>
      </w:pPr>
    </w:lvl>
  </w:abstractNum>
  <w:abstractNum w:abstractNumId="3" w15:restartNumberingAfterBreak="0">
    <w:nsid w:val="48AF1C76"/>
    <w:multiLevelType w:val="multilevel"/>
    <w:tmpl w:val="0E24E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088E"/>
    <w:multiLevelType w:val="multilevel"/>
    <w:tmpl w:val="A0C2B0C0"/>
    <w:lvl w:ilvl="0">
      <w:start w:val="1"/>
      <w:numFmt w:val="decimal"/>
      <w:lvlText w:val="%1"/>
      <w:lvlJc w:val="left"/>
      <w:pPr>
        <w:ind w:left="1519" w:hanging="360"/>
      </w:pPr>
    </w:lvl>
    <w:lvl w:ilvl="1">
      <w:start w:val="1"/>
      <w:numFmt w:val="decimal"/>
      <w:lvlText w:val="%1.%2."/>
      <w:lvlJc w:val="left"/>
      <w:pPr>
        <w:ind w:left="1519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879" w:hanging="36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5010" w:hanging="360"/>
      </w:pPr>
    </w:lvl>
    <w:lvl w:ilvl="5">
      <w:start w:val="1"/>
      <w:numFmt w:val="bullet"/>
      <w:lvlText w:val="•"/>
      <w:lvlJc w:val="left"/>
      <w:pPr>
        <w:ind w:left="6035" w:hanging="360"/>
      </w:pPr>
    </w:lvl>
    <w:lvl w:ilvl="6">
      <w:start w:val="1"/>
      <w:numFmt w:val="bullet"/>
      <w:lvlText w:val="•"/>
      <w:lvlJc w:val="left"/>
      <w:pPr>
        <w:ind w:left="7060" w:hanging="360"/>
      </w:pPr>
    </w:lvl>
    <w:lvl w:ilvl="7">
      <w:start w:val="1"/>
      <w:numFmt w:val="bullet"/>
      <w:lvlText w:val="•"/>
      <w:lvlJc w:val="left"/>
      <w:pPr>
        <w:ind w:left="8085" w:hanging="360"/>
      </w:pPr>
    </w:lvl>
    <w:lvl w:ilvl="8">
      <w:start w:val="1"/>
      <w:numFmt w:val="bullet"/>
      <w:lvlText w:val="•"/>
      <w:lvlJc w:val="left"/>
      <w:pPr>
        <w:ind w:left="9110" w:hanging="360"/>
      </w:pPr>
    </w:lvl>
  </w:abstractNum>
  <w:abstractNum w:abstractNumId="5" w15:restartNumberingAfterBreak="0">
    <w:nsid w:val="58C40DA8"/>
    <w:multiLevelType w:val="multilevel"/>
    <w:tmpl w:val="2F260D9A"/>
    <w:lvl w:ilvl="0">
      <w:start w:val="1"/>
      <w:numFmt w:val="decimal"/>
      <w:lvlText w:val="%1"/>
      <w:lvlJc w:val="left"/>
      <w:pPr>
        <w:ind w:left="1519" w:hanging="360"/>
      </w:pPr>
    </w:lvl>
    <w:lvl w:ilvl="1">
      <w:start w:val="1"/>
      <w:numFmt w:val="decimal"/>
      <w:lvlText w:val="%1.%2."/>
      <w:lvlJc w:val="left"/>
      <w:pPr>
        <w:ind w:left="1519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879" w:hanging="360"/>
      </w:pPr>
      <w:rPr>
        <w:rFonts w:ascii="Calibri" w:eastAsia="Calibri" w:hAnsi="Calibri" w:cs="Calibri"/>
        <w:b/>
        <w:sz w:val="22"/>
        <w:szCs w:val="22"/>
      </w:rPr>
    </w:lvl>
    <w:lvl w:ilvl="3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5010" w:hanging="360"/>
      </w:pPr>
    </w:lvl>
    <w:lvl w:ilvl="5">
      <w:start w:val="1"/>
      <w:numFmt w:val="bullet"/>
      <w:lvlText w:val="•"/>
      <w:lvlJc w:val="left"/>
      <w:pPr>
        <w:ind w:left="6035" w:hanging="360"/>
      </w:pPr>
    </w:lvl>
    <w:lvl w:ilvl="6">
      <w:start w:val="1"/>
      <w:numFmt w:val="bullet"/>
      <w:lvlText w:val="•"/>
      <w:lvlJc w:val="left"/>
      <w:pPr>
        <w:ind w:left="7060" w:hanging="360"/>
      </w:pPr>
    </w:lvl>
    <w:lvl w:ilvl="7">
      <w:start w:val="1"/>
      <w:numFmt w:val="bullet"/>
      <w:lvlText w:val="•"/>
      <w:lvlJc w:val="left"/>
      <w:pPr>
        <w:ind w:left="8085" w:hanging="360"/>
      </w:pPr>
    </w:lvl>
    <w:lvl w:ilvl="8">
      <w:start w:val="1"/>
      <w:numFmt w:val="bullet"/>
      <w:lvlText w:val="•"/>
      <w:lvlJc w:val="left"/>
      <w:pPr>
        <w:ind w:left="9110" w:hanging="360"/>
      </w:pPr>
    </w:lvl>
  </w:abstractNum>
  <w:abstractNum w:abstractNumId="6" w15:restartNumberingAfterBreak="0">
    <w:nsid w:val="68024F28"/>
    <w:multiLevelType w:val="multilevel"/>
    <w:tmpl w:val="01FEBD04"/>
    <w:lvl w:ilvl="0">
      <w:start w:val="1"/>
      <w:numFmt w:val="decimal"/>
      <w:lvlText w:val="%1."/>
      <w:lvlJc w:val="left"/>
      <w:pPr>
        <w:ind w:left="1879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599" w:hanging="360"/>
      </w:pPr>
      <w:rPr>
        <w:sz w:val="22"/>
        <w:szCs w:val="22"/>
      </w:rPr>
    </w:lvl>
    <w:lvl w:ilvl="2">
      <w:start w:val="1"/>
      <w:numFmt w:val="bullet"/>
      <w:lvlText w:val="•"/>
      <w:lvlJc w:val="left"/>
      <w:pPr>
        <w:ind w:left="3551" w:hanging="360"/>
      </w:pPr>
    </w:lvl>
    <w:lvl w:ilvl="3">
      <w:start w:val="1"/>
      <w:numFmt w:val="bullet"/>
      <w:lvlText w:val="•"/>
      <w:lvlJc w:val="left"/>
      <w:pPr>
        <w:ind w:left="4502" w:hanging="360"/>
      </w:pPr>
    </w:lvl>
    <w:lvl w:ilvl="4">
      <w:start w:val="1"/>
      <w:numFmt w:val="bullet"/>
      <w:lvlText w:val="•"/>
      <w:lvlJc w:val="left"/>
      <w:pPr>
        <w:ind w:left="5453" w:hanging="360"/>
      </w:pPr>
    </w:lvl>
    <w:lvl w:ilvl="5">
      <w:start w:val="1"/>
      <w:numFmt w:val="bullet"/>
      <w:lvlText w:val="•"/>
      <w:lvlJc w:val="left"/>
      <w:pPr>
        <w:ind w:left="6404" w:hanging="360"/>
      </w:pPr>
    </w:lvl>
    <w:lvl w:ilvl="6">
      <w:start w:val="1"/>
      <w:numFmt w:val="bullet"/>
      <w:lvlText w:val="•"/>
      <w:lvlJc w:val="left"/>
      <w:pPr>
        <w:ind w:left="7355" w:hanging="360"/>
      </w:pPr>
    </w:lvl>
    <w:lvl w:ilvl="7">
      <w:start w:val="1"/>
      <w:numFmt w:val="bullet"/>
      <w:lvlText w:val="•"/>
      <w:lvlJc w:val="left"/>
      <w:pPr>
        <w:ind w:left="8306" w:hanging="360"/>
      </w:pPr>
    </w:lvl>
    <w:lvl w:ilvl="8">
      <w:start w:val="1"/>
      <w:numFmt w:val="bullet"/>
      <w:lvlText w:val="•"/>
      <w:lvlJc w:val="left"/>
      <w:pPr>
        <w:ind w:left="9257" w:hanging="360"/>
      </w:pPr>
    </w:lvl>
  </w:abstractNum>
  <w:abstractNum w:abstractNumId="7" w15:restartNumberingAfterBreak="0">
    <w:nsid w:val="71242F3F"/>
    <w:multiLevelType w:val="hybridMultilevel"/>
    <w:tmpl w:val="1CFEC220"/>
    <w:lvl w:ilvl="0" w:tplc="120E13FC">
      <w:start w:val="1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6423">
    <w:abstractNumId w:val="1"/>
  </w:num>
  <w:num w:numId="2" w16cid:durableId="1810049216">
    <w:abstractNumId w:val="3"/>
  </w:num>
  <w:num w:numId="3" w16cid:durableId="1785343">
    <w:abstractNumId w:val="2"/>
  </w:num>
  <w:num w:numId="4" w16cid:durableId="737020168">
    <w:abstractNumId w:val="0"/>
  </w:num>
  <w:num w:numId="5" w16cid:durableId="883716426">
    <w:abstractNumId w:val="6"/>
  </w:num>
  <w:num w:numId="6" w16cid:durableId="1750032438">
    <w:abstractNumId w:val="4"/>
  </w:num>
  <w:num w:numId="7" w16cid:durableId="1207909349">
    <w:abstractNumId w:val="5"/>
  </w:num>
  <w:num w:numId="8" w16cid:durableId="1725638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32"/>
    <w:rsid w:val="000A56C8"/>
    <w:rsid w:val="000C5A73"/>
    <w:rsid w:val="000D4D65"/>
    <w:rsid w:val="001323C1"/>
    <w:rsid w:val="0018751B"/>
    <w:rsid w:val="00190F1A"/>
    <w:rsid w:val="0024047A"/>
    <w:rsid w:val="00391CAC"/>
    <w:rsid w:val="00451632"/>
    <w:rsid w:val="00506485"/>
    <w:rsid w:val="00524E65"/>
    <w:rsid w:val="006464BA"/>
    <w:rsid w:val="00661487"/>
    <w:rsid w:val="006718EB"/>
    <w:rsid w:val="00790EC6"/>
    <w:rsid w:val="008B1124"/>
    <w:rsid w:val="00A06D5B"/>
    <w:rsid w:val="00B11C12"/>
    <w:rsid w:val="00B4311B"/>
    <w:rsid w:val="00BC2878"/>
    <w:rsid w:val="00BD642E"/>
    <w:rsid w:val="00C02769"/>
    <w:rsid w:val="00C52082"/>
    <w:rsid w:val="00F560F2"/>
    <w:rsid w:val="00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F1343"/>
  <w15:chartTrackingRefBased/>
  <w15:docId w15:val="{835B9F16-D40E-4C6F-974E-D4F73AA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32"/>
    <w:pPr>
      <w:widowControl w:val="0"/>
      <w:spacing w:after="0" w:line="240" w:lineRule="auto"/>
    </w:pPr>
    <w:rPr>
      <w:rFonts w:ascii="Calibri" w:eastAsia="Calibri" w:hAnsi="Calibri" w:cs="Calibri"/>
      <w:kern w:val="0"/>
      <w:lang w:val="es-ES"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1632"/>
    <w:pPr>
      <w:spacing w:before="77"/>
      <w:ind w:left="1159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632"/>
    <w:rPr>
      <w:rFonts w:ascii="Calibri" w:eastAsia="Calibri" w:hAnsi="Calibri" w:cs="Calibri"/>
      <w:b/>
      <w:kern w:val="0"/>
      <w:lang w:val="es-ES"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516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632"/>
    <w:rPr>
      <w:rFonts w:ascii="Calibri" w:eastAsia="Calibri" w:hAnsi="Calibri" w:cs="Calibri"/>
      <w:kern w:val="0"/>
      <w:lang w:val="es-ES"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45163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16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5163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1632"/>
    <w:rPr>
      <w:rFonts w:ascii="Calibri" w:eastAsia="Calibri" w:hAnsi="Calibri" w:cs="Calibri"/>
      <w:kern w:val="0"/>
      <w:sz w:val="20"/>
      <w:szCs w:val="20"/>
      <w:lang w:val="es-ES" w:eastAsia="es-CL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16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1632"/>
    <w:rPr>
      <w:rFonts w:ascii="Calibri" w:eastAsia="Calibri" w:hAnsi="Calibri" w:cs="Calibri"/>
      <w:b/>
      <w:bCs/>
      <w:kern w:val="0"/>
      <w:sz w:val="20"/>
      <w:szCs w:val="20"/>
      <w:lang w:val="es-ES"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431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11B"/>
    <w:rPr>
      <w:rFonts w:ascii="Calibri" w:eastAsia="Calibri" w:hAnsi="Calibri" w:cs="Calibri"/>
      <w:kern w:val="0"/>
      <w:lang w:val="es-ES" w:eastAsia="es-CL"/>
      <w14:ligatures w14:val="none"/>
    </w:rPr>
  </w:style>
  <w:style w:type="paragraph" w:styleId="Revisin">
    <w:name w:val="Revision"/>
    <w:hidden/>
    <w:uiPriority w:val="99"/>
    <w:semiHidden/>
    <w:rsid w:val="00B4311B"/>
    <w:pPr>
      <w:spacing w:after="0" w:line="240" w:lineRule="auto"/>
    </w:pPr>
    <w:rPr>
      <w:rFonts w:ascii="Calibri" w:eastAsia="Calibri" w:hAnsi="Calibri" w:cs="Calibri"/>
      <w:kern w:val="0"/>
      <w:lang w:val="es-ES" w:eastAsia="es-CL"/>
      <w14:ligatures w14:val="none"/>
    </w:rPr>
  </w:style>
  <w:style w:type="paragraph" w:styleId="Textoindependiente">
    <w:name w:val="Body Text"/>
    <w:basedOn w:val="Normal"/>
    <w:link w:val="TextoindependienteCar"/>
    <w:rsid w:val="00506485"/>
    <w:pPr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s-419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506485"/>
    <w:rPr>
      <w:rFonts w:ascii="Liberation Serif" w:eastAsia="Arial Unicode MS" w:hAnsi="Liberation Serif" w:cs="Lucida Sans"/>
      <w:kern w:val="0"/>
      <w:sz w:val="24"/>
      <w:szCs w:val="24"/>
      <w:lang w:val="es-419" w:eastAsia="zh-CN" w:bidi="hi-IN"/>
      <w14:ligatures w14:val="none"/>
    </w:rPr>
  </w:style>
  <w:style w:type="table" w:styleId="Tablaconcuadrcula">
    <w:name w:val="Table Grid"/>
    <w:basedOn w:val="Tablanormal"/>
    <w:uiPriority w:val="39"/>
    <w:rsid w:val="00506485"/>
    <w:pPr>
      <w:suppressAutoHyphens/>
      <w:spacing w:after="0" w:line="240" w:lineRule="auto"/>
    </w:pPr>
    <w:rPr>
      <w:rFonts w:ascii="Liberation Serif" w:eastAsia="Arial Unicode MS" w:hAnsi="Liberation Serif" w:cs="Lucida Sans"/>
      <w:kern w:val="0"/>
      <w:sz w:val="24"/>
      <w:szCs w:val="24"/>
      <w:lang w:val="en-US"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cyt.cl/FONDECYT/2012/10/31/bioet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icyt.cl/FONDECYT/2012/10/31/bioet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3FA9-BBC8-4E84-B451-8E311013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1240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Claps Jara</dc:creator>
  <cp:keywords/>
  <dc:description/>
  <cp:lastModifiedBy>Maite De Cea Pe</cp:lastModifiedBy>
  <cp:revision>2</cp:revision>
  <dcterms:created xsi:type="dcterms:W3CDTF">2023-06-01T14:41:00Z</dcterms:created>
  <dcterms:modified xsi:type="dcterms:W3CDTF">2023-06-01T14:41:00Z</dcterms:modified>
</cp:coreProperties>
</file>